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F19" w:rsidRPr="00F00F19" w:rsidRDefault="00F00F19" w:rsidP="00F00F19">
      <w:pPr>
        <w:spacing w:after="0" w:line="240" w:lineRule="auto"/>
        <w:jc w:val="both"/>
        <w:rPr>
          <w:rFonts w:ascii="Times New Roman" w:eastAsia="Times New Roman" w:hAnsi="Times New Roman" w:cs="Times New Roman"/>
          <w:b/>
          <w:sz w:val="24"/>
          <w:szCs w:val="24"/>
          <w:lang w:eastAsia="hu-HU"/>
        </w:rPr>
      </w:pPr>
      <w:r w:rsidRPr="00F00F19">
        <w:rPr>
          <w:rFonts w:ascii="Times New Roman" w:eastAsia="Times New Roman" w:hAnsi="Times New Roman" w:cs="Times New Roman"/>
          <w:b/>
          <w:sz w:val="24"/>
          <w:szCs w:val="24"/>
          <w:lang w:eastAsia="hu-HU"/>
        </w:rPr>
        <w:t>6. Felelősségteljes utazás, környezettudatos turista</w:t>
      </w:r>
    </w:p>
    <w:p w:rsidR="00F00F19" w:rsidRDefault="00F00F19" w:rsidP="00F00F19">
      <w:pPr>
        <w:spacing w:after="0" w:line="240" w:lineRule="auto"/>
        <w:jc w:val="both"/>
        <w:rPr>
          <w:rFonts w:ascii="Times New Roman" w:eastAsia="Times New Roman" w:hAnsi="Times New Roman" w:cs="Times New Roman"/>
          <w:sz w:val="24"/>
          <w:szCs w:val="24"/>
          <w:lang w:eastAsia="hu-HU"/>
        </w:rPr>
      </w:pP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Times New Roman" w:hAnsi="Times New Roman" w:cs="Times New Roman"/>
          <w:sz w:val="24"/>
          <w:szCs w:val="24"/>
          <w:lang w:eastAsia="hu-HU"/>
        </w:rPr>
        <w:t>Egy felelősségteljes utazás során védjük a helyi növényvilágot, óvjuk a vadvilágot, nem szemetelünk, takarékoskodunk az energiával, étellel, vízzel (</w:t>
      </w:r>
      <w:hyperlink r:id="rId7" w:history="1">
        <w:r w:rsidRPr="00F00F19">
          <w:rPr>
            <w:rFonts w:ascii="Times New Roman" w:eastAsia="Times New Roman" w:hAnsi="Times New Roman" w:cs="Times New Roman"/>
            <w:color w:val="0563C1" w:themeColor="hyperlink"/>
            <w:sz w:val="24"/>
            <w:szCs w:val="24"/>
            <w:u w:val="single"/>
            <w:lang w:eastAsia="hu-HU"/>
          </w:rPr>
          <w:t>www.felelossegteljesutazas.hu</w:t>
        </w:r>
      </w:hyperlink>
      <w:r w:rsidRPr="00F00F19">
        <w:rPr>
          <w:rFonts w:ascii="Times New Roman" w:eastAsia="Times New Roman" w:hAnsi="Times New Roman" w:cs="Times New Roman"/>
          <w:sz w:val="24"/>
          <w:szCs w:val="24"/>
          <w:lang w:eastAsia="hu-HU"/>
        </w:rPr>
        <w:t xml:space="preserve">). </w:t>
      </w:r>
      <w:r w:rsidRPr="00F00F19">
        <w:rPr>
          <w:rFonts w:ascii="Times New Roman" w:eastAsia="Calibri" w:hAnsi="Times New Roman" w:cs="Times New Roman"/>
          <w:sz w:val="24"/>
          <w:szCs w:val="24"/>
        </w:rPr>
        <w:t>A turisták környezettudatos viselkedése hozza létre a felelősen viselkedő turistatípust, aki aktívan tesz a környezetéért, nem szemetel, nem rongál, nem hangoskodik. A turizmusiparon belül környezettudatos nevelésért leginkább a nemzeti parkok a felelősek. Az egyre inkább terjedőben lévő túlzott turizmus (</w:t>
      </w:r>
      <w:proofErr w:type="spellStart"/>
      <w:r w:rsidRPr="00F00F19">
        <w:rPr>
          <w:rFonts w:ascii="Times New Roman" w:eastAsia="Calibri" w:hAnsi="Times New Roman" w:cs="Times New Roman"/>
          <w:sz w:val="24"/>
          <w:szCs w:val="24"/>
        </w:rPr>
        <w:t>overtourism</w:t>
      </w:r>
      <w:proofErr w:type="spellEnd"/>
      <w:r w:rsidRPr="00F00F19">
        <w:rPr>
          <w:rFonts w:ascii="Times New Roman" w:eastAsia="Calibri" w:hAnsi="Times New Roman" w:cs="Times New Roman"/>
          <w:sz w:val="24"/>
          <w:szCs w:val="24"/>
        </w:rPr>
        <w:t>) jelenségének kezelését a jövő felelős turistája képes csak megoldani.</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A környezeti nevelés fontosságát már egy pár évtizede senki sem vitatja. Az összes szakirodalom arra hivatkozik, hogy a környezeti nevelés jelenti a kulcsot a hosszú távú fenntartható fejlődéshez, az élethez, vagyis ahhoz, hogy az emberiség ne pusztuljon ki a Földön. A környezeti nevelés során olyan környezettudatos embereket, gyermekeket lehet nevelni, akik felismerik, hogy mely páratlan természeti kincsek érdemesek a megőrzésre, </w:t>
      </w:r>
      <w:proofErr w:type="spellStart"/>
      <w:r w:rsidRPr="00F00F19">
        <w:rPr>
          <w:rFonts w:ascii="Times New Roman" w:eastAsia="Calibri" w:hAnsi="Times New Roman" w:cs="Times New Roman"/>
          <w:sz w:val="24"/>
          <w:szCs w:val="24"/>
        </w:rPr>
        <w:t>átérzik</w:t>
      </w:r>
      <w:proofErr w:type="spellEnd"/>
      <w:r w:rsidRPr="00F00F19">
        <w:rPr>
          <w:rFonts w:ascii="Times New Roman" w:eastAsia="Calibri" w:hAnsi="Times New Roman" w:cs="Times New Roman"/>
          <w:sz w:val="24"/>
          <w:szCs w:val="24"/>
        </w:rPr>
        <w:t xml:space="preserve"> a természet megóvásának súlyos terhét, valamint magukénak érzik a feladatot, hogy idejüket és energiájukat nem sajnálva nap, mint nap tegyenek meg mindent ennek érdekében, hisz a természet a jövő záloga.</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A mai szemmel nézett környezeti nevelés fogalmának a megjelenése visszanyúlik az 1948-as évhez. A Természetvédelmi Világszövetség (IUCN)</w:t>
      </w:r>
      <w:r w:rsidRPr="00F00F19">
        <w:rPr>
          <w:rFonts w:ascii="Times New Roman" w:eastAsia="Calibri" w:hAnsi="Times New Roman" w:cs="Times New Roman"/>
          <w:sz w:val="24"/>
          <w:szCs w:val="24"/>
          <w:vertAlign w:val="superscript"/>
        </w:rPr>
        <w:footnoteReference w:id="1"/>
      </w:r>
      <w:r w:rsidRPr="00F00F19">
        <w:rPr>
          <w:rFonts w:ascii="Times New Roman" w:eastAsia="Calibri" w:hAnsi="Times New Roman" w:cs="Times New Roman"/>
          <w:sz w:val="24"/>
          <w:szCs w:val="24"/>
        </w:rPr>
        <w:t xml:space="preserve"> megalapítása nagy előrelépést jelentett a természetvédelemben, ugyanis a szervezet annak érdekében lett létrehozva, hogy támogassa és a világ minden területén arra ösztönözze a társadalmakat, hogy igyekezzenek megőrizni a természetet sértetlen formájában, és az abból származó erőforrásokat hatékonyan és méltányosan használják fel, miközben a természet sokféleségének megőrzése fenntartható módon történik. A szervezet bizottságai között külön területet képvisel az Oktatás és Kommunikáció Bizottság (CEC)</w:t>
      </w:r>
      <w:r w:rsidRPr="00F00F19">
        <w:rPr>
          <w:rFonts w:ascii="Times New Roman" w:eastAsia="Calibri" w:hAnsi="Times New Roman" w:cs="Times New Roman"/>
          <w:sz w:val="24"/>
          <w:szCs w:val="24"/>
          <w:vertAlign w:val="superscript"/>
        </w:rPr>
        <w:footnoteReference w:id="2"/>
      </w:r>
      <w:r w:rsidRPr="00F00F19">
        <w:rPr>
          <w:rFonts w:ascii="Times New Roman" w:eastAsia="Calibri" w:hAnsi="Times New Roman" w:cs="Times New Roman"/>
          <w:sz w:val="24"/>
          <w:szCs w:val="24"/>
        </w:rPr>
        <w:t>. Az IUCN szerint: „</w:t>
      </w:r>
      <w:r w:rsidRPr="00F00F19">
        <w:rPr>
          <w:rFonts w:ascii="Times New Roman" w:eastAsia="Calibri" w:hAnsi="Times New Roman" w:cs="Times New Roman"/>
          <w:i/>
          <w:sz w:val="24"/>
          <w:szCs w:val="24"/>
        </w:rPr>
        <w:t>A kommunikáció, az oktatás és a szemléletformálás olyan társadalom-alakító eszközök, amelyek megfelelő kombinációban alkalmazva nagyban elősegítik a természetvédelmi munka sikerét</w:t>
      </w:r>
      <w:r w:rsidRPr="00F00F19">
        <w:rPr>
          <w:rFonts w:ascii="Times New Roman" w:eastAsia="Calibri" w:hAnsi="Times New Roman" w:cs="Times New Roman"/>
          <w:sz w:val="24"/>
          <w:szCs w:val="24"/>
        </w:rPr>
        <w:t>.” (Természetvédelmi Világszövetség honlapja</w:t>
      </w:r>
      <w:r w:rsidRPr="00F00F19">
        <w:rPr>
          <w:rFonts w:ascii="Times New Roman" w:eastAsia="Calibri" w:hAnsi="Times New Roman" w:cs="Times New Roman"/>
          <w:sz w:val="24"/>
          <w:szCs w:val="24"/>
          <w:vertAlign w:val="superscript"/>
        </w:rPr>
        <w:footnoteReference w:id="3"/>
      </w:r>
      <w:r w:rsidRPr="00F00F19">
        <w:rPr>
          <w:rFonts w:ascii="Times New Roman" w:eastAsia="Calibri" w:hAnsi="Times New Roman" w:cs="Times New Roman"/>
          <w:sz w:val="24"/>
          <w:szCs w:val="24"/>
        </w:rPr>
        <w:t xml:space="preserve">) Ez a meghatározás is arra hívja fel a figyelmet, hogy mekkora szerepe van a környezeti nevelésnek abban, hogy a jövő generációi is nyugodtan élvezhessék a természet szépségeit. A CEC speciális alcsoportja, az Education </w:t>
      </w:r>
      <w:proofErr w:type="spellStart"/>
      <w:r w:rsidRPr="00F00F19">
        <w:rPr>
          <w:rFonts w:ascii="Times New Roman" w:eastAsia="Calibri" w:hAnsi="Times New Roman" w:cs="Times New Roman"/>
          <w:sz w:val="24"/>
          <w:szCs w:val="24"/>
        </w:rPr>
        <w:t>for</w:t>
      </w:r>
      <w:proofErr w:type="spellEnd"/>
      <w:r w:rsidRPr="00F00F19">
        <w:rPr>
          <w:rFonts w:ascii="Times New Roman" w:eastAsia="Calibri" w:hAnsi="Times New Roman" w:cs="Times New Roman"/>
          <w:sz w:val="24"/>
          <w:szCs w:val="24"/>
        </w:rPr>
        <w:t xml:space="preserve"> </w:t>
      </w:r>
      <w:proofErr w:type="spellStart"/>
      <w:r w:rsidRPr="00F00F19">
        <w:rPr>
          <w:rFonts w:ascii="Times New Roman" w:eastAsia="Calibri" w:hAnsi="Times New Roman" w:cs="Times New Roman"/>
          <w:sz w:val="24"/>
          <w:szCs w:val="24"/>
        </w:rPr>
        <w:t>Sustainable</w:t>
      </w:r>
      <w:proofErr w:type="spellEnd"/>
      <w:r w:rsidRPr="00F00F19">
        <w:rPr>
          <w:rFonts w:ascii="Times New Roman" w:eastAsia="Calibri" w:hAnsi="Times New Roman" w:cs="Times New Roman"/>
          <w:sz w:val="24"/>
          <w:szCs w:val="24"/>
        </w:rPr>
        <w:t xml:space="preserve"> </w:t>
      </w:r>
      <w:proofErr w:type="spellStart"/>
      <w:r w:rsidRPr="00F00F19">
        <w:rPr>
          <w:rFonts w:ascii="Times New Roman" w:eastAsia="Calibri" w:hAnsi="Times New Roman" w:cs="Times New Roman"/>
          <w:sz w:val="24"/>
          <w:szCs w:val="24"/>
        </w:rPr>
        <w:t>Developent</w:t>
      </w:r>
      <w:proofErr w:type="spellEnd"/>
      <w:r w:rsidRPr="00F00F19">
        <w:rPr>
          <w:rFonts w:ascii="Times New Roman" w:eastAsia="Calibri" w:hAnsi="Times New Roman" w:cs="Times New Roman"/>
          <w:sz w:val="24"/>
          <w:szCs w:val="24"/>
        </w:rPr>
        <w:t xml:space="preserve"> (ESD)</w:t>
      </w:r>
      <w:r w:rsidRPr="00F00F19">
        <w:rPr>
          <w:rFonts w:ascii="Times New Roman" w:eastAsia="Calibri" w:hAnsi="Times New Roman" w:cs="Times New Roman"/>
          <w:sz w:val="24"/>
          <w:szCs w:val="24"/>
          <w:vertAlign w:val="superscript"/>
        </w:rPr>
        <w:footnoteReference w:id="4"/>
      </w:r>
      <w:r w:rsidRPr="00F00F19">
        <w:rPr>
          <w:rFonts w:ascii="Times New Roman" w:eastAsia="Calibri" w:hAnsi="Times New Roman" w:cs="Times New Roman"/>
          <w:sz w:val="24"/>
          <w:szCs w:val="24"/>
        </w:rPr>
        <w:t xml:space="preserve"> hivatott integrálni a kulturális elveket, tanulási célokat és pedagógiát.  </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Már 1948-ban az IUCN Nevelési Bizottságának ülésén is elhangzott az a szándéknyilatkozat, miszerint szükség lenne a környezet védelmére irányuló nevelésre. (Kosáros A. 2007; Orgoványi A. 1999), maga a környezeti nevelés első definíciója és első sajtómegjelenése „csak” 1969-re datálható. William </w:t>
      </w:r>
      <w:proofErr w:type="spellStart"/>
      <w:r w:rsidRPr="00F00F19">
        <w:rPr>
          <w:rFonts w:ascii="Times New Roman" w:eastAsia="Calibri" w:hAnsi="Times New Roman" w:cs="Times New Roman"/>
          <w:sz w:val="24"/>
          <w:szCs w:val="24"/>
        </w:rPr>
        <w:t>B.Stapp</w:t>
      </w:r>
      <w:proofErr w:type="spellEnd"/>
      <w:r w:rsidRPr="00F00F19">
        <w:rPr>
          <w:rFonts w:ascii="Times New Roman" w:eastAsia="Calibri" w:hAnsi="Times New Roman" w:cs="Times New Roman"/>
          <w:sz w:val="24"/>
          <w:szCs w:val="24"/>
        </w:rPr>
        <w:t>, az UNESCO</w:t>
      </w:r>
      <w:r w:rsidRPr="00F00F19">
        <w:rPr>
          <w:rFonts w:ascii="Times New Roman" w:eastAsia="Calibri" w:hAnsi="Times New Roman" w:cs="Times New Roman"/>
          <w:sz w:val="24"/>
          <w:szCs w:val="24"/>
          <w:vertAlign w:val="superscript"/>
        </w:rPr>
        <w:footnoteReference w:id="5"/>
      </w:r>
      <w:r w:rsidRPr="00F00F19">
        <w:rPr>
          <w:rFonts w:ascii="Times New Roman" w:eastAsia="Calibri" w:hAnsi="Times New Roman" w:cs="Times New Roman"/>
          <w:sz w:val="24"/>
          <w:szCs w:val="24"/>
        </w:rPr>
        <w:t xml:space="preserve"> későbbi első környezeti nevelésért felelős igazgatója a The Journal of </w:t>
      </w:r>
      <w:proofErr w:type="spellStart"/>
      <w:r w:rsidRPr="00F00F19">
        <w:rPr>
          <w:rFonts w:ascii="Times New Roman" w:eastAsia="Calibri" w:hAnsi="Times New Roman" w:cs="Times New Roman"/>
          <w:sz w:val="24"/>
          <w:szCs w:val="24"/>
        </w:rPr>
        <w:t>Enviromental</w:t>
      </w:r>
      <w:proofErr w:type="spellEnd"/>
      <w:r w:rsidRPr="00F00F19">
        <w:rPr>
          <w:rFonts w:ascii="Times New Roman" w:eastAsia="Calibri" w:hAnsi="Times New Roman" w:cs="Times New Roman"/>
          <w:sz w:val="24"/>
          <w:szCs w:val="24"/>
        </w:rPr>
        <w:t xml:space="preserve"> Education nevű lapban tette közzé meghatározását, amely definícióban megfogalmazott gondolat a többi napjainkban divatosabb meghatározások alapjait jelentette. Eszerint „</w:t>
      </w:r>
      <w:r w:rsidRPr="00F00F19">
        <w:rPr>
          <w:rFonts w:ascii="Times New Roman" w:eastAsia="Calibri" w:hAnsi="Times New Roman" w:cs="Times New Roman"/>
          <w:i/>
          <w:sz w:val="24"/>
          <w:szCs w:val="24"/>
        </w:rPr>
        <w:t>A környezeti nevelés célja, hogy olyan állampolgárokat neveljen, akik jól ismerik a biológiai és fizikai környezetet és annak problémáit, tudják, hogyan segíthetnek a problémák megoldásában és ehhez rendelkeznek a megfelelő motivációval</w:t>
      </w:r>
      <w:r w:rsidRPr="00F00F19">
        <w:rPr>
          <w:rFonts w:ascii="Times New Roman" w:eastAsia="Calibri" w:hAnsi="Times New Roman" w:cs="Times New Roman"/>
          <w:sz w:val="24"/>
          <w:szCs w:val="24"/>
        </w:rPr>
        <w:t>.” ( Kosáros A. 2007, p.2.)</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Az IUCN mint nemzetközi szervezet megfogalmazása szerint: „</w:t>
      </w:r>
      <w:r w:rsidRPr="00F00F19">
        <w:rPr>
          <w:rFonts w:ascii="Times New Roman" w:eastAsia="Calibri" w:hAnsi="Times New Roman" w:cs="Times New Roman"/>
          <w:i/>
          <w:sz w:val="24"/>
          <w:szCs w:val="24"/>
        </w:rPr>
        <w:t xml:space="preserve">A környezeti nevelés olyan értékek felismerésének és olyan fogalmak meghatározásának folyamata, amelyek segítenek az ember és kultúrája, valamint az őt körülvevő biofizikai környezet sokrétű kapcsolatának megértéséhez és értékeléséhez szükséges készségek és hozzáállás kifejlesztésében. A környezeti </w:t>
      </w:r>
      <w:proofErr w:type="gramStart"/>
      <w:r w:rsidRPr="00F00F19">
        <w:rPr>
          <w:rFonts w:ascii="Times New Roman" w:eastAsia="Calibri" w:hAnsi="Times New Roman" w:cs="Times New Roman"/>
          <w:i/>
          <w:sz w:val="24"/>
          <w:szCs w:val="24"/>
        </w:rPr>
        <w:lastRenderedPageBreak/>
        <w:t>nevelés</w:t>
      </w:r>
      <w:proofErr w:type="gramEnd"/>
      <w:r w:rsidRPr="00F00F19">
        <w:rPr>
          <w:rFonts w:ascii="Times New Roman" w:eastAsia="Calibri" w:hAnsi="Times New Roman" w:cs="Times New Roman"/>
          <w:i/>
          <w:sz w:val="24"/>
          <w:szCs w:val="24"/>
        </w:rPr>
        <w:t xml:space="preserve"> hatást gyakorol a környezet minőségét érintő döntéshozatalra, személyiségformálásra és egy széles értelemben vett viselkedésmód kialakítására.</w:t>
      </w:r>
      <w:r w:rsidRPr="00F00F19">
        <w:rPr>
          <w:rFonts w:ascii="Times New Roman" w:eastAsia="Calibri" w:hAnsi="Times New Roman" w:cs="Times New Roman"/>
          <w:sz w:val="24"/>
          <w:szCs w:val="24"/>
        </w:rPr>
        <w:t xml:space="preserve">” (IUCN, 1970). Ez a meghatározás már a tudás, probléma felismerés és motiváltságon túlmenően a környezeti neveléshez kapcsolódó ismeretek és fogalmak tisztázását, tehát a szükséges keretrendszer meghatározását is kimondja, valamint ehhez kapcsolódva a döntéshozatal felelősségkörét is említi. Az akkor leszögezett alapelvek, mint az elővigyázatosság, tudás, attitűd, képességek és részvétel máig megőrizték jelentőségüket. </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Ekkor kezdődött az a munka, melynek kimeneteleként az UNESCO és az UNEP</w:t>
      </w:r>
      <w:r w:rsidRPr="00F00F19">
        <w:rPr>
          <w:rFonts w:ascii="Times New Roman" w:eastAsia="Calibri" w:hAnsi="Times New Roman" w:cs="Times New Roman"/>
          <w:sz w:val="24"/>
          <w:szCs w:val="24"/>
          <w:vertAlign w:val="superscript"/>
        </w:rPr>
        <w:footnoteReference w:id="6"/>
      </w:r>
      <w:r w:rsidRPr="00F00F19">
        <w:rPr>
          <w:rFonts w:ascii="Times New Roman" w:eastAsia="Calibri" w:hAnsi="Times New Roman" w:cs="Times New Roman"/>
          <w:sz w:val="24"/>
          <w:szCs w:val="24"/>
        </w:rPr>
        <w:t xml:space="preserve"> az 1970-es években pár év alatt együttesen létrehozta azokat a </w:t>
      </w:r>
      <w:proofErr w:type="spellStart"/>
      <w:r w:rsidRPr="00F00F19">
        <w:rPr>
          <w:rFonts w:ascii="Times New Roman" w:eastAsia="Calibri" w:hAnsi="Times New Roman" w:cs="Times New Roman"/>
          <w:sz w:val="24"/>
          <w:szCs w:val="24"/>
        </w:rPr>
        <w:t>deklarációikat</w:t>
      </w:r>
      <w:proofErr w:type="spellEnd"/>
      <w:r w:rsidRPr="00F00F19">
        <w:rPr>
          <w:rFonts w:ascii="Times New Roman" w:eastAsia="Calibri" w:hAnsi="Times New Roman" w:cs="Times New Roman"/>
          <w:sz w:val="24"/>
          <w:szCs w:val="24"/>
        </w:rPr>
        <w:t>, melyek a környezeti nevelésnek törvényi hátterét teremtették meg. 1972-ben a Stockholmi Nyilatkozat még csak 33 alapelvet és javaslatot fogalmazott meg az emberi környezetet kiterjesztendő és megóvandó, mert ekkor váltak ismertté az egész világot érintő környezeti problémák. (</w:t>
      </w:r>
      <w:proofErr w:type="spellStart"/>
      <w:r w:rsidRPr="00F00F19">
        <w:rPr>
          <w:rFonts w:ascii="Times New Roman" w:eastAsia="Calibri" w:hAnsi="Times New Roman" w:cs="Times New Roman"/>
          <w:sz w:val="24"/>
          <w:szCs w:val="24"/>
        </w:rPr>
        <w:t>Declaration</w:t>
      </w:r>
      <w:proofErr w:type="spellEnd"/>
      <w:r w:rsidRPr="00F00F19">
        <w:rPr>
          <w:rFonts w:ascii="Times New Roman" w:eastAsia="Calibri" w:hAnsi="Times New Roman" w:cs="Times New Roman"/>
          <w:sz w:val="24"/>
          <w:szCs w:val="24"/>
        </w:rPr>
        <w:t xml:space="preserve"> of </w:t>
      </w:r>
      <w:proofErr w:type="spellStart"/>
      <w:r w:rsidRPr="00F00F19">
        <w:rPr>
          <w:rFonts w:ascii="Times New Roman" w:eastAsia="Calibri" w:hAnsi="Times New Roman" w:cs="Times New Roman"/>
          <w:sz w:val="24"/>
          <w:szCs w:val="24"/>
        </w:rPr>
        <w:t>the</w:t>
      </w:r>
      <w:proofErr w:type="spellEnd"/>
      <w:r w:rsidRPr="00F00F19">
        <w:rPr>
          <w:rFonts w:ascii="Times New Roman" w:eastAsia="Calibri" w:hAnsi="Times New Roman" w:cs="Times New Roman"/>
          <w:sz w:val="24"/>
          <w:szCs w:val="24"/>
        </w:rPr>
        <w:t xml:space="preserve"> United </w:t>
      </w:r>
      <w:proofErr w:type="spellStart"/>
      <w:r w:rsidRPr="00F00F19">
        <w:rPr>
          <w:rFonts w:ascii="Times New Roman" w:eastAsia="Calibri" w:hAnsi="Times New Roman" w:cs="Times New Roman"/>
          <w:sz w:val="24"/>
          <w:szCs w:val="24"/>
        </w:rPr>
        <w:t>Nations</w:t>
      </w:r>
      <w:proofErr w:type="spellEnd"/>
      <w:r w:rsidRPr="00F00F19">
        <w:rPr>
          <w:rFonts w:ascii="Times New Roman" w:eastAsia="Calibri" w:hAnsi="Times New Roman" w:cs="Times New Roman"/>
          <w:sz w:val="24"/>
          <w:szCs w:val="24"/>
        </w:rPr>
        <w:t xml:space="preserve"> </w:t>
      </w:r>
      <w:proofErr w:type="spellStart"/>
      <w:r w:rsidRPr="00F00F19">
        <w:rPr>
          <w:rFonts w:ascii="Times New Roman" w:eastAsia="Calibri" w:hAnsi="Times New Roman" w:cs="Times New Roman"/>
          <w:sz w:val="24"/>
          <w:szCs w:val="24"/>
        </w:rPr>
        <w:t>Conference</w:t>
      </w:r>
      <w:proofErr w:type="spellEnd"/>
      <w:r w:rsidRPr="00F00F19">
        <w:rPr>
          <w:rFonts w:ascii="Times New Roman" w:eastAsia="Calibri" w:hAnsi="Times New Roman" w:cs="Times New Roman"/>
          <w:sz w:val="24"/>
          <w:szCs w:val="24"/>
        </w:rPr>
        <w:t xml:space="preserve"> </w:t>
      </w:r>
      <w:proofErr w:type="spellStart"/>
      <w:r w:rsidRPr="00F00F19">
        <w:rPr>
          <w:rFonts w:ascii="Times New Roman" w:eastAsia="Calibri" w:hAnsi="Times New Roman" w:cs="Times New Roman"/>
          <w:sz w:val="24"/>
          <w:szCs w:val="24"/>
        </w:rPr>
        <w:t>on</w:t>
      </w:r>
      <w:proofErr w:type="spellEnd"/>
      <w:r w:rsidRPr="00F00F19">
        <w:rPr>
          <w:rFonts w:ascii="Times New Roman" w:eastAsia="Calibri" w:hAnsi="Times New Roman" w:cs="Times New Roman"/>
          <w:sz w:val="24"/>
          <w:szCs w:val="24"/>
        </w:rPr>
        <w:t xml:space="preserve"> </w:t>
      </w:r>
      <w:proofErr w:type="spellStart"/>
      <w:r w:rsidRPr="00F00F19">
        <w:rPr>
          <w:rFonts w:ascii="Times New Roman" w:eastAsia="Calibri" w:hAnsi="Times New Roman" w:cs="Times New Roman"/>
          <w:sz w:val="24"/>
          <w:szCs w:val="24"/>
        </w:rPr>
        <w:t>the</w:t>
      </w:r>
      <w:proofErr w:type="spellEnd"/>
      <w:r w:rsidRPr="00F00F19">
        <w:rPr>
          <w:rFonts w:ascii="Times New Roman" w:eastAsia="Calibri" w:hAnsi="Times New Roman" w:cs="Times New Roman"/>
          <w:sz w:val="24"/>
          <w:szCs w:val="24"/>
        </w:rPr>
        <w:t xml:space="preserve"> Human </w:t>
      </w:r>
      <w:proofErr w:type="spellStart"/>
      <w:r w:rsidRPr="00F00F19">
        <w:rPr>
          <w:rFonts w:ascii="Times New Roman" w:eastAsia="Calibri" w:hAnsi="Times New Roman" w:cs="Times New Roman"/>
          <w:sz w:val="24"/>
          <w:szCs w:val="24"/>
        </w:rPr>
        <w:t>Environment</w:t>
      </w:r>
      <w:proofErr w:type="spellEnd"/>
      <w:r w:rsidRPr="00F00F19">
        <w:rPr>
          <w:rFonts w:ascii="Times New Roman" w:eastAsia="Calibri" w:hAnsi="Times New Roman" w:cs="Times New Roman"/>
          <w:sz w:val="24"/>
          <w:szCs w:val="24"/>
        </w:rPr>
        <w:t xml:space="preserve"> 1972)</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Ezzel szemben a Belgrádi-Charta (1975) a már korábbi alapelveket figyelembe véve célokat és feladatokat is meghatározott a környezeti nevelési programra vonatkozóan, valamint itt jött létre az UNESCO és az ENSZ</w:t>
      </w:r>
      <w:r w:rsidRPr="00F00F19">
        <w:rPr>
          <w:rFonts w:ascii="Times New Roman" w:eastAsia="Calibri" w:hAnsi="Times New Roman" w:cs="Times New Roman"/>
          <w:sz w:val="24"/>
          <w:szCs w:val="24"/>
          <w:vertAlign w:val="superscript"/>
        </w:rPr>
        <w:footnoteReference w:id="7"/>
      </w:r>
      <w:r w:rsidRPr="00F00F19">
        <w:rPr>
          <w:rFonts w:ascii="Times New Roman" w:eastAsia="Calibri" w:hAnsi="Times New Roman" w:cs="Times New Roman"/>
          <w:sz w:val="24"/>
          <w:szCs w:val="24"/>
        </w:rPr>
        <w:t xml:space="preserve"> környezeti neveléssel foglalkozó programja az IEEP</w:t>
      </w:r>
      <w:r w:rsidRPr="00F00F19">
        <w:rPr>
          <w:rFonts w:ascii="Times New Roman" w:eastAsia="Calibri" w:hAnsi="Times New Roman" w:cs="Times New Roman"/>
          <w:sz w:val="24"/>
          <w:szCs w:val="24"/>
          <w:vertAlign w:val="superscript"/>
        </w:rPr>
        <w:footnoteReference w:id="8"/>
      </w:r>
      <w:r w:rsidRPr="00F00F19">
        <w:rPr>
          <w:rFonts w:ascii="Times New Roman" w:eastAsia="Calibri" w:hAnsi="Times New Roman" w:cs="Times New Roman"/>
          <w:sz w:val="24"/>
          <w:szCs w:val="24"/>
        </w:rPr>
        <w:t>.</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A következő mérföldkő, és egyben a környezeti nevelés alapdokumentumának tekinthető Tbiliszi nyilatkozat 1977-ben, a kettő korábbi előzmény segítségével született meg. A szakirodalom ezt tekinti ténylegesen a környezeti nevelés </w:t>
      </w:r>
      <w:proofErr w:type="spellStart"/>
      <w:r w:rsidRPr="00F00F19">
        <w:rPr>
          <w:rFonts w:ascii="Times New Roman" w:eastAsia="Calibri" w:hAnsi="Times New Roman" w:cs="Times New Roman"/>
          <w:sz w:val="24"/>
          <w:szCs w:val="24"/>
        </w:rPr>
        <w:t>alapkövének</w:t>
      </w:r>
      <w:proofErr w:type="spellEnd"/>
      <w:r w:rsidRPr="00F00F19">
        <w:rPr>
          <w:rFonts w:ascii="Times New Roman" w:eastAsia="Calibri" w:hAnsi="Times New Roman" w:cs="Times New Roman"/>
          <w:sz w:val="24"/>
          <w:szCs w:val="24"/>
        </w:rPr>
        <w:t xml:space="preserve"> is, melyet a Nemzeti Környezeti Nevelési Stratégiában az alábbi módon fogalmaznak meg:</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w:t>
      </w:r>
      <w:r w:rsidRPr="00F00F19">
        <w:rPr>
          <w:rFonts w:ascii="Times New Roman" w:eastAsia="Calibri" w:hAnsi="Times New Roman" w:cs="Times New Roman"/>
          <w:i/>
          <w:sz w:val="24"/>
          <w:szCs w:val="24"/>
        </w:rPr>
        <w:t>A környezeti nevelés egy folyamat, amelyben olyan világnemzedék nevelkedik fel, amely ismeri tágabb környezetét is, törődik azzal, valamint annak problémáival. Ismeretekkel, készségekkel, attitűdökkel, motivációval és elkötelezettséggel rendelkezik, hogy egyénileg és közösségben dolgozzon a jelenlegi problémák megoldásán és az újabbak megelőzésén.”</w:t>
      </w:r>
      <w:r w:rsidRPr="00F00F19">
        <w:rPr>
          <w:rFonts w:ascii="Times New Roman" w:eastAsia="Calibri" w:hAnsi="Times New Roman" w:cs="Times New Roman"/>
          <w:sz w:val="24"/>
          <w:szCs w:val="24"/>
        </w:rPr>
        <w:t xml:space="preserve"> (Nemzeti Környezeti Nevelés Egyesület 2003, p.11.)</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Kiss és Zsiros (2006) művében kiemeli, hogy a környezeti nevelés egy olyan eszközt szeretne átnyújtani mindenkinek, amivel a környezeti problémák felszámolásával saját életminőségük is jobbra fordul. Ezek az eszközök segítenék a további fejlődési lehetőségeket, valamint a természetkárosítások regenerálását és megelőzését. A környezeti nevelés egy holisztikus szemléletet jelent, mert magára a személy világképére és életmódjára, kultúrájára van befolyással. A környezeti nevelés során olyan tudás, értékek és információhalmaz jut el a potenciális alanyhoz, mely egy motivációs erővel bír annak érdekében, hogy a természeti erőforrásokat figyelmesen és hatékonyan sikerüljön kiaknázni és felhasználni, valamint, hogy erősödjön a társadalmi felelősségvállalás a környezet megóvásának érdekében. (Kiss F. </w:t>
      </w:r>
      <w:proofErr w:type="gramStart"/>
      <w:r w:rsidRPr="00F00F19">
        <w:rPr>
          <w:rFonts w:ascii="Times New Roman" w:eastAsia="Calibri" w:hAnsi="Times New Roman" w:cs="Times New Roman"/>
          <w:sz w:val="24"/>
          <w:szCs w:val="24"/>
        </w:rPr>
        <w:t>és</w:t>
      </w:r>
      <w:proofErr w:type="gramEnd"/>
      <w:r w:rsidRPr="00F00F19">
        <w:rPr>
          <w:rFonts w:ascii="Times New Roman" w:eastAsia="Calibri" w:hAnsi="Times New Roman" w:cs="Times New Roman"/>
          <w:sz w:val="24"/>
          <w:szCs w:val="24"/>
        </w:rPr>
        <w:t xml:space="preserve"> Zsiros A. 2006) A felelős környezettudatos turista definíciója 2011-ben került elfogadásra a Budapesti Gazdasági Főiskola nemzetközi konferenciáján. </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A kérdőíves megkérdezésünk során (kérdőívet 161 fő töltötte ki, a megkérdezés on-line felületen történt, a kitöltők nagy hányada 15 és 45 év közötti magyar állampolgár volt) a környezettudatos viselkedés szintjeit elemeztük, hogyan jelennek meg a nemzeti parkba látogatók körében. A válaszokból következtetve a környezettudatos embereknek négy típusa különíthető el.</w:t>
      </w:r>
    </w:p>
    <w:p w:rsidR="00F00F19" w:rsidRPr="00F00F19" w:rsidRDefault="00F00F19" w:rsidP="00F00F19">
      <w:pPr>
        <w:numPr>
          <w:ilvl w:val="0"/>
          <w:numId w:val="1"/>
        </w:numPr>
        <w:spacing w:after="0" w:line="240" w:lineRule="auto"/>
        <w:ind w:left="924" w:hanging="357"/>
        <w:contextualSpacing/>
        <w:jc w:val="both"/>
        <w:rPr>
          <w:rFonts w:ascii="Times New Roman" w:eastAsia="Calibri" w:hAnsi="Times New Roman" w:cs="Times New Roman"/>
          <w:sz w:val="24"/>
          <w:szCs w:val="24"/>
        </w:rPr>
      </w:pPr>
      <w:r w:rsidRPr="00F00F19">
        <w:rPr>
          <w:rFonts w:ascii="Times New Roman" w:eastAsia="Calibri" w:hAnsi="Times New Roman" w:cs="Times New Roman"/>
          <w:sz w:val="24"/>
          <w:szCs w:val="24"/>
          <w:u w:val="single"/>
        </w:rPr>
        <w:t>típus:</w:t>
      </w:r>
      <w:r w:rsidRPr="00F00F19">
        <w:rPr>
          <w:rFonts w:ascii="Times New Roman" w:eastAsia="Calibri" w:hAnsi="Times New Roman" w:cs="Times New Roman"/>
          <w:sz w:val="24"/>
          <w:szCs w:val="24"/>
        </w:rPr>
        <w:t xml:space="preserve"> Azok, akik egyáltalán nem, vagy csak nagyon minimálisan foglalkoznak a problémával.</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Ők azok, akik nem érdekeltek a témában, hiszen számukra nem lényeges a környezettudatosság. Sem otthon, sem a nyaralásuk során nem fektetnek hangsúlyt a természetvédelemre. Ez persze nem azt jelenti, hogy szennyezik a környezetet, szemetelnek, stb., hanem csak annyit, hogy nem tesznek különösebb erőfeszítéseket a természet megóvása érdekében. </w:t>
      </w:r>
    </w:p>
    <w:p w:rsidR="00F00F19" w:rsidRPr="00F00F19" w:rsidRDefault="00F00F19" w:rsidP="00F00F19">
      <w:pPr>
        <w:numPr>
          <w:ilvl w:val="0"/>
          <w:numId w:val="1"/>
        </w:numPr>
        <w:spacing w:after="0" w:line="240" w:lineRule="auto"/>
        <w:ind w:left="924" w:hanging="357"/>
        <w:contextualSpacing/>
        <w:jc w:val="both"/>
        <w:rPr>
          <w:rFonts w:ascii="Times New Roman" w:eastAsia="Calibri" w:hAnsi="Times New Roman" w:cs="Times New Roman"/>
          <w:sz w:val="24"/>
          <w:szCs w:val="24"/>
        </w:rPr>
      </w:pPr>
      <w:r w:rsidRPr="00F00F19">
        <w:rPr>
          <w:rFonts w:ascii="Times New Roman" w:eastAsia="Calibri" w:hAnsi="Times New Roman" w:cs="Times New Roman"/>
          <w:sz w:val="24"/>
          <w:szCs w:val="24"/>
          <w:u w:val="single"/>
        </w:rPr>
        <w:lastRenderedPageBreak/>
        <w:t>típus</w:t>
      </w:r>
      <w:r w:rsidRPr="00F00F19">
        <w:rPr>
          <w:rFonts w:ascii="Times New Roman" w:eastAsia="Calibri" w:hAnsi="Times New Roman" w:cs="Times New Roman"/>
          <w:sz w:val="24"/>
          <w:szCs w:val="24"/>
        </w:rPr>
        <w:t>: Azok, akik általában odafigyelnek az őket körülvevő természetre, de az utazásaik során nem igazán</w:t>
      </w:r>
      <w:r w:rsidR="000001CB">
        <w:rPr>
          <w:rFonts w:ascii="Times New Roman" w:eastAsia="Calibri" w:hAnsi="Times New Roman" w:cs="Times New Roman"/>
          <w:sz w:val="24"/>
          <w:szCs w:val="24"/>
        </w:rPr>
        <w:t xml:space="preserve"> törődnek ezzel</w:t>
      </w:r>
      <w:r w:rsidRPr="00F00F19">
        <w:rPr>
          <w:rFonts w:ascii="Times New Roman" w:eastAsia="Calibri" w:hAnsi="Times New Roman" w:cs="Times New Roman"/>
          <w:sz w:val="24"/>
          <w:szCs w:val="24"/>
        </w:rPr>
        <w:t>.</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A magyar lakosságra ez a legjellemzőbb típus. Környezettudatosan élnek, szelektíven gyűjtik a hulladékot, odafigyelnek a környezet tisztántartására, stb. Amikor azonban utazásra kerül sor, ez a fajta viselkedés már nincs jelen, nem tesznek erőfeszítéseket a célállomáson a természet megóvása érdekében.</w:t>
      </w:r>
    </w:p>
    <w:p w:rsidR="00F00F19" w:rsidRPr="00F00F19" w:rsidRDefault="00F00F19" w:rsidP="00F00F19">
      <w:pPr>
        <w:numPr>
          <w:ilvl w:val="0"/>
          <w:numId w:val="1"/>
        </w:numPr>
        <w:spacing w:after="0" w:line="240" w:lineRule="auto"/>
        <w:ind w:left="924" w:hanging="357"/>
        <w:contextualSpacing/>
        <w:jc w:val="both"/>
        <w:rPr>
          <w:rFonts w:ascii="Times New Roman" w:eastAsia="Calibri" w:hAnsi="Times New Roman" w:cs="Times New Roman"/>
          <w:sz w:val="24"/>
          <w:szCs w:val="24"/>
        </w:rPr>
      </w:pPr>
      <w:r w:rsidRPr="00F00F19">
        <w:rPr>
          <w:rFonts w:ascii="Times New Roman" w:eastAsia="Calibri" w:hAnsi="Times New Roman" w:cs="Times New Roman"/>
          <w:sz w:val="24"/>
          <w:szCs w:val="24"/>
          <w:u w:val="single"/>
        </w:rPr>
        <w:t>típus:</w:t>
      </w:r>
      <w:r w:rsidRPr="00F00F19">
        <w:rPr>
          <w:rFonts w:ascii="Times New Roman" w:eastAsia="Calibri" w:hAnsi="Times New Roman" w:cs="Times New Roman"/>
          <w:sz w:val="24"/>
          <w:szCs w:val="24"/>
        </w:rPr>
        <w:t xml:space="preserve"> Azok, akik az utazásik során is megpróbálnak </w:t>
      </w:r>
      <w:proofErr w:type="spellStart"/>
      <w:r w:rsidRPr="00F00F19">
        <w:rPr>
          <w:rFonts w:ascii="Times New Roman" w:eastAsia="Calibri" w:hAnsi="Times New Roman" w:cs="Times New Roman"/>
          <w:sz w:val="24"/>
          <w:szCs w:val="24"/>
        </w:rPr>
        <w:t>környezettudatosak</w:t>
      </w:r>
      <w:proofErr w:type="spellEnd"/>
      <w:r w:rsidRPr="00F00F19">
        <w:rPr>
          <w:rFonts w:ascii="Times New Roman" w:eastAsia="Calibri" w:hAnsi="Times New Roman" w:cs="Times New Roman"/>
          <w:sz w:val="24"/>
          <w:szCs w:val="24"/>
        </w:rPr>
        <w:t xml:space="preserve"> maradni.</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Egyre növekvő arányt mutat a lakosság körében ez a típus. Ők azok, akik ha elutaznak, a </w:t>
      </w:r>
      <w:proofErr w:type="spellStart"/>
      <w:r w:rsidRPr="00F00F19">
        <w:rPr>
          <w:rFonts w:ascii="Times New Roman" w:eastAsia="Calibri" w:hAnsi="Times New Roman" w:cs="Times New Roman"/>
          <w:sz w:val="24"/>
          <w:szCs w:val="24"/>
        </w:rPr>
        <w:t>desztináció</w:t>
      </w:r>
      <w:proofErr w:type="spellEnd"/>
      <w:r w:rsidRPr="00F00F19">
        <w:rPr>
          <w:rFonts w:ascii="Times New Roman" w:eastAsia="Calibri" w:hAnsi="Times New Roman" w:cs="Times New Roman"/>
          <w:sz w:val="24"/>
          <w:szCs w:val="24"/>
        </w:rPr>
        <w:t xml:space="preserve"> környezetét is megóvják, betartva az ottani környezetvédelmi szabályokat. Takarékosak a szállodában a vízhasználattal, és ha lehet, kevesebbszer kérnek ágynemű-, valamint törölközőcserét. Nem csak otthon, az utazás teljes időtartama alatt is odafigyelnek az energiahasználatra, valamint a megfelelő közlekedési mód megválasztására. Ha elutaznak, inkább a tömegközlekedést választják, kerékpároznak, vagy sétálnak. Egyszóval ha otthon környezettudatosan viselkednek, ugyanazt teszik a nyaralás során is. </w:t>
      </w:r>
    </w:p>
    <w:p w:rsidR="00F00F19" w:rsidRPr="00F00F19" w:rsidRDefault="00F00F19" w:rsidP="00F00F19">
      <w:pPr>
        <w:numPr>
          <w:ilvl w:val="0"/>
          <w:numId w:val="1"/>
        </w:numPr>
        <w:spacing w:after="0" w:line="240" w:lineRule="auto"/>
        <w:ind w:left="924" w:hanging="357"/>
        <w:contextualSpacing/>
        <w:jc w:val="both"/>
        <w:rPr>
          <w:rFonts w:ascii="Times New Roman" w:eastAsia="Calibri" w:hAnsi="Times New Roman" w:cs="Times New Roman"/>
          <w:sz w:val="24"/>
          <w:szCs w:val="24"/>
        </w:rPr>
      </w:pPr>
      <w:r w:rsidRPr="00F00F19">
        <w:rPr>
          <w:rFonts w:ascii="Times New Roman" w:eastAsia="Calibri" w:hAnsi="Times New Roman" w:cs="Times New Roman"/>
          <w:sz w:val="24"/>
          <w:szCs w:val="24"/>
          <w:u w:val="single"/>
        </w:rPr>
        <w:t>típus</w:t>
      </w:r>
      <w:r w:rsidRPr="00F00F19">
        <w:rPr>
          <w:rFonts w:ascii="Times New Roman" w:eastAsia="Calibri" w:hAnsi="Times New Roman" w:cs="Times New Roman"/>
          <w:sz w:val="24"/>
          <w:szCs w:val="24"/>
        </w:rPr>
        <w:t>: Azok, akik aktívan védik a természetet, mind a hétköznapi életben, mind az utazások alkalmával.</w:t>
      </w:r>
    </w:p>
    <w:p w:rsidR="00F00F19" w:rsidRPr="00F00F19" w:rsidRDefault="00F00F19" w:rsidP="00F00F19">
      <w:pPr>
        <w:spacing w:after="0" w:line="240" w:lineRule="auto"/>
        <w:jc w:val="both"/>
        <w:rPr>
          <w:rFonts w:ascii="Times New Roman" w:eastAsia="Calibri" w:hAnsi="Times New Roman" w:cs="Times New Roman"/>
          <w:sz w:val="24"/>
          <w:szCs w:val="24"/>
        </w:rPr>
      </w:pPr>
      <w:r w:rsidRPr="00F00F19">
        <w:rPr>
          <w:rFonts w:ascii="Times New Roman" w:eastAsia="Calibri" w:hAnsi="Times New Roman" w:cs="Times New Roman"/>
          <w:sz w:val="24"/>
          <w:szCs w:val="24"/>
        </w:rPr>
        <w:t xml:space="preserve">Ez egyelőre a legritkább típus. A lakosság körében nem elterjedt, azonban a Magyar Turisztikai Ügynökség, valamint az egyéb, környezetvédelemmel foglalkozó civil szervezetek is azon munkálkodnak, hogy népszerűsítsék ezt a típust. Ők azok, akik teljes mértékben odafigyelnek a környezetre a nyaralás, valamint az otthoni lét során is. Aktívan óvják a természetet, szemétszedő akciókban vesznek részt, sőt, a környezetvédelmi oktatáson való részvétel sem áll távol tőlük. A nyaralás során már a helyszín és a szálloda kiválasztásánál előjön környezettudatosságuk, az ott tartózkodás során pedig szintén a természetvédelmi aktivitás a jellemző rájuk. </w:t>
      </w:r>
    </w:p>
    <w:p w:rsidR="00102DEB" w:rsidRPr="00F00F19" w:rsidRDefault="0040239F">
      <w:pPr>
        <w:rPr>
          <w:rFonts w:ascii="Times New Roman" w:hAnsi="Times New Roman" w:cs="Times New Roman"/>
          <w:sz w:val="24"/>
          <w:szCs w:val="24"/>
        </w:rPr>
      </w:pPr>
    </w:p>
    <w:p w:rsidR="00F00F19" w:rsidRPr="00F00F19" w:rsidRDefault="00F00F19">
      <w:pPr>
        <w:rPr>
          <w:rFonts w:ascii="Times New Roman" w:hAnsi="Times New Roman" w:cs="Times New Roman"/>
          <w:sz w:val="24"/>
          <w:szCs w:val="24"/>
        </w:rPr>
      </w:pPr>
      <w:r w:rsidRPr="00F00F19">
        <w:rPr>
          <w:rFonts w:ascii="Times New Roman" w:hAnsi="Times New Roman" w:cs="Times New Roman"/>
          <w:sz w:val="24"/>
          <w:szCs w:val="24"/>
        </w:rPr>
        <w:t>Mi jellemző Ön szerint a túlzott tömegturistákra, melyik kategóriába tartoznak ők?</w:t>
      </w:r>
    </w:p>
    <w:p w:rsidR="000001CB" w:rsidRDefault="000001CB" w:rsidP="00F00F19">
      <w:pPr>
        <w:pStyle w:val="NormlWeb"/>
        <w:wordWrap w:val="0"/>
        <w:spacing w:before="0" w:beforeAutospacing="0" w:after="0" w:afterAutospacing="0"/>
        <w:rPr>
          <w:rFonts w:eastAsiaTheme="minorEastAsia"/>
          <w:color w:val="000000" w:themeColor="text1"/>
          <w:kern w:val="24"/>
        </w:rPr>
      </w:pPr>
      <w:r>
        <w:rPr>
          <w:rFonts w:eastAsiaTheme="minorEastAsia"/>
          <w:color w:val="000000" w:themeColor="text1"/>
          <w:kern w:val="24"/>
        </w:rPr>
        <w:t>Tanári instrukciók: Gondolja át, mit tudna tenni azért, hogy a tömegturisták az 1. kategóriából a 2. típusba lépjenek át</w:t>
      </w:r>
      <w:r w:rsidRPr="000001CB">
        <w:rPr>
          <w:rFonts w:eastAsia="Calibri"/>
        </w:rPr>
        <w:t xml:space="preserve"> </w:t>
      </w:r>
      <w:r>
        <w:rPr>
          <w:rFonts w:eastAsia="Calibri"/>
        </w:rPr>
        <w:t>(a</w:t>
      </w:r>
      <w:r w:rsidRPr="00F00F19">
        <w:rPr>
          <w:rFonts w:eastAsia="Calibri"/>
        </w:rPr>
        <w:t>zok, akik általában odafigyelnek az őket körülvevő természetre, de az utazásaik során nem igazán</w:t>
      </w:r>
      <w:r>
        <w:rPr>
          <w:rFonts w:eastAsia="Calibri"/>
        </w:rPr>
        <w:t xml:space="preserve"> törődnek ezzel</w:t>
      </w:r>
      <w:r>
        <w:rPr>
          <w:rFonts w:eastAsia="Calibri"/>
        </w:rPr>
        <w:t>)</w:t>
      </w:r>
      <w:bookmarkStart w:id="0" w:name="_GoBack"/>
      <w:bookmarkEnd w:id="0"/>
      <w:r>
        <w:rPr>
          <w:rFonts w:eastAsiaTheme="minorEastAsia"/>
          <w:color w:val="000000" w:themeColor="text1"/>
          <w:kern w:val="24"/>
        </w:rPr>
        <w:t>!</w:t>
      </w:r>
    </w:p>
    <w:p w:rsidR="000001CB" w:rsidRDefault="000001CB" w:rsidP="00F00F19">
      <w:pPr>
        <w:pStyle w:val="NormlWeb"/>
        <w:wordWrap w:val="0"/>
        <w:spacing w:before="0" w:beforeAutospacing="0" w:after="0" w:afterAutospacing="0"/>
        <w:rPr>
          <w:rFonts w:eastAsiaTheme="minorEastAsia"/>
          <w:color w:val="000000" w:themeColor="text1"/>
          <w:kern w:val="24"/>
        </w:rPr>
      </w:pP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A túlzott tömegturisták kevésbé nyitottak, buborékban maradnak,</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Nincs különösebb igényük a helyiek megismerésére,</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A különböző tömegturisztikai termékek, csomagok, valamint a modern technológia,</w:t>
      </w:r>
    </w:p>
    <w:p w:rsidR="00F00F19" w:rsidRPr="00F00F19" w:rsidRDefault="00F00F19" w:rsidP="00F00F19">
      <w:pPr>
        <w:pStyle w:val="NormlWeb"/>
        <w:wordWrap w:val="0"/>
        <w:spacing w:before="0" w:beforeAutospacing="0" w:after="0" w:afterAutospacing="0"/>
      </w:pPr>
      <w:proofErr w:type="gramStart"/>
      <w:r w:rsidRPr="00F00F19">
        <w:rPr>
          <w:rFonts w:eastAsiaTheme="minorEastAsia"/>
          <w:color w:val="000000" w:themeColor="text1"/>
          <w:kern w:val="24"/>
        </w:rPr>
        <w:t>használatával</w:t>
      </w:r>
      <w:proofErr w:type="gramEnd"/>
      <w:r w:rsidRPr="00F00F19">
        <w:rPr>
          <w:rFonts w:eastAsiaTheme="minorEastAsia"/>
          <w:color w:val="000000" w:themeColor="text1"/>
          <w:kern w:val="24"/>
        </w:rPr>
        <w:t xml:space="preserve"> erre nincsenek is rászorulva,</w:t>
      </w:r>
    </w:p>
    <w:p w:rsidR="00F00F19" w:rsidRPr="00F00F19" w:rsidRDefault="00F00F19" w:rsidP="00F00F19">
      <w:pPr>
        <w:pStyle w:val="NormlWeb"/>
        <w:wordWrap w:val="0"/>
        <w:spacing w:before="0" w:beforeAutospacing="0" w:after="0" w:afterAutospacing="0"/>
      </w:pPr>
      <w:proofErr w:type="spellStart"/>
      <w:r w:rsidRPr="00F00F19">
        <w:rPr>
          <w:rFonts w:eastAsiaTheme="minorEastAsia"/>
          <w:color w:val="000000" w:themeColor="text1"/>
          <w:kern w:val="24"/>
        </w:rPr>
        <w:t>Living</w:t>
      </w:r>
      <w:proofErr w:type="spellEnd"/>
      <w:r w:rsidRPr="00F00F19">
        <w:rPr>
          <w:rFonts w:eastAsiaTheme="minorEastAsia"/>
          <w:color w:val="000000" w:themeColor="text1"/>
          <w:kern w:val="24"/>
        </w:rPr>
        <w:t xml:space="preserve"> </w:t>
      </w:r>
      <w:proofErr w:type="spellStart"/>
      <w:r w:rsidRPr="00F00F19">
        <w:rPr>
          <w:rFonts w:eastAsiaTheme="minorEastAsia"/>
          <w:color w:val="000000" w:themeColor="text1"/>
          <w:kern w:val="24"/>
        </w:rPr>
        <w:t>like</w:t>
      </w:r>
      <w:proofErr w:type="spellEnd"/>
      <w:r w:rsidRPr="00F00F19">
        <w:rPr>
          <w:rFonts w:eastAsiaTheme="minorEastAsia"/>
          <w:color w:val="000000" w:themeColor="text1"/>
          <w:kern w:val="24"/>
        </w:rPr>
        <w:t xml:space="preserve"> a local, előszeretettel laknak a belvárosban, </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 xml:space="preserve">Közösségi média, </w:t>
      </w:r>
      <w:proofErr w:type="spellStart"/>
      <w:r w:rsidRPr="00F00F19">
        <w:rPr>
          <w:rFonts w:eastAsiaTheme="minorEastAsia"/>
          <w:color w:val="000000" w:themeColor="text1"/>
          <w:kern w:val="24"/>
        </w:rPr>
        <w:t>influenszerek</w:t>
      </w:r>
      <w:proofErr w:type="spellEnd"/>
      <w:r w:rsidRPr="00F00F19">
        <w:rPr>
          <w:rFonts w:eastAsiaTheme="minorEastAsia"/>
          <w:color w:val="000000" w:themeColor="text1"/>
          <w:kern w:val="24"/>
        </w:rPr>
        <w:t xml:space="preserve"> nagy hatása jellemző,</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 xml:space="preserve">A </w:t>
      </w:r>
      <w:proofErr w:type="spellStart"/>
      <w:r w:rsidRPr="00F00F19">
        <w:rPr>
          <w:rFonts w:eastAsiaTheme="minorEastAsia"/>
          <w:color w:val="000000" w:themeColor="text1"/>
          <w:kern w:val="24"/>
        </w:rPr>
        <w:t>branddel</w:t>
      </w:r>
      <w:proofErr w:type="spellEnd"/>
      <w:r w:rsidRPr="00F00F19">
        <w:rPr>
          <w:rFonts w:eastAsiaTheme="minorEastAsia"/>
          <w:color w:val="000000" w:themeColor="text1"/>
          <w:kern w:val="24"/>
        </w:rPr>
        <w:t xml:space="preserve"> rendelkező városok vonzzák őket,</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Könnyen megközelíthető helyszínekre látogatnak,</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Általában baráti társasággal érkeznek,</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Éjszakai buliturizmusban is részt vesznek,</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 xml:space="preserve">2-3 vendégéjszakát töltenek el az adott </w:t>
      </w:r>
    </w:p>
    <w:p w:rsidR="00F00F19" w:rsidRPr="00F00F19" w:rsidRDefault="00F00F19" w:rsidP="00F00F19">
      <w:pPr>
        <w:pStyle w:val="NormlWeb"/>
        <w:wordWrap w:val="0"/>
        <w:spacing w:before="0" w:beforeAutospacing="0" w:after="0" w:afterAutospacing="0"/>
      </w:pPr>
      <w:proofErr w:type="spellStart"/>
      <w:r w:rsidRPr="00F00F19">
        <w:rPr>
          <w:rFonts w:eastAsiaTheme="minorEastAsia"/>
          <w:color w:val="000000" w:themeColor="text1"/>
          <w:kern w:val="24"/>
        </w:rPr>
        <w:t>desztinációban</w:t>
      </w:r>
      <w:proofErr w:type="spellEnd"/>
      <w:r w:rsidRPr="00F00F19">
        <w:rPr>
          <w:rFonts w:eastAsiaTheme="minorEastAsia"/>
          <w:color w:val="000000" w:themeColor="text1"/>
          <w:kern w:val="24"/>
        </w:rPr>
        <w:t xml:space="preserve">, </w:t>
      </w:r>
    </w:p>
    <w:p w:rsidR="00F00F19" w:rsidRPr="00F00F19" w:rsidRDefault="00F00F19" w:rsidP="00F00F19">
      <w:pPr>
        <w:pStyle w:val="NormlWeb"/>
        <w:wordWrap w:val="0"/>
        <w:spacing w:before="0" w:beforeAutospacing="0" w:after="0" w:afterAutospacing="0"/>
      </w:pPr>
      <w:r w:rsidRPr="00F00F19">
        <w:rPr>
          <w:rFonts w:eastAsiaTheme="minorEastAsia"/>
          <w:color w:val="000000" w:themeColor="text1"/>
          <w:kern w:val="24"/>
        </w:rPr>
        <w:t>Viszonylag magasnak mondható a költési hajlandóságuk (Y generáció a jövedelmük nagyobb részét költik szolgáltatásokra).</w:t>
      </w:r>
    </w:p>
    <w:p w:rsidR="00F00F19" w:rsidRPr="00F00F19" w:rsidRDefault="00F00F19">
      <w:pPr>
        <w:rPr>
          <w:rFonts w:ascii="Times New Roman" w:hAnsi="Times New Roman" w:cs="Times New Roman"/>
          <w:sz w:val="24"/>
          <w:szCs w:val="24"/>
        </w:rPr>
      </w:pPr>
    </w:p>
    <w:p w:rsidR="00F00F19" w:rsidRDefault="00F00F19"/>
    <w:sectPr w:rsidR="00F00F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39F" w:rsidRDefault="0040239F" w:rsidP="00F00F19">
      <w:pPr>
        <w:spacing w:after="0" w:line="240" w:lineRule="auto"/>
      </w:pPr>
      <w:r>
        <w:separator/>
      </w:r>
    </w:p>
  </w:endnote>
  <w:endnote w:type="continuationSeparator" w:id="0">
    <w:p w:rsidR="0040239F" w:rsidRDefault="0040239F" w:rsidP="00F00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39F" w:rsidRDefault="0040239F" w:rsidP="00F00F19">
      <w:pPr>
        <w:spacing w:after="0" w:line="240" w:lineRule="auto"/>
      </w:pPr>
      <w:r>
        <w:separator/>
      </w:r>
    </w:p>
  </w:footnote>
  <w:footnote w:type="continuationSeparator" w:id="0">
    <w:p w:rsidR="0040239F" w:rsidRDefault="0040239F" w:rsidP="00F00F19">
      <w:pPr>
        <w:spacing w:after="0" w:line="240" w:lineRule="auto"/>
      </w:pPr>
      <w:r>
        <w:continuationSeparator/>
      </w:r>
    </w:p>
  </w:footnote>
  <w:footnote w:id="1">
    <w:p w:rsidR="00F00F19" w:rsidRPr="0066736C" w:rsidRDefault="00F00F19" w:rsidP="00F00F19">
      <w:pPr>
        <w:pStyle w:val="Lbjegyzetszveg"/>
      </w:pPr>
      <w:r w:rsidRPr="0066736C">
        <w:rPr>
          <w:rStyle w:val="Lbjegyzet-hivatkozs"/>
        </w:rPr>
        <w:footnoteRef/>
      </w:r>
      <w:r w:rsidRPr="0066736C">
        <w:t xml:space="preserve"> </w:t>
      </w:r>
      <w:r w:rsidRPr="0066736C">
        <w:rPr>
          <w:color w:val="333333"/>
          <w:shd w:val="clear" w:color="auto" w:fill="FFFFFF"/>
        </w:rPr>
        <w:t xml:space="preserve">International Union </w:t>
      </w:r>
      <w:proofErr w:type="spellStart"/>
      <w:r w:rsidRPr="0066736C">
        <w:rPr>
          <w:color w:val="333333"/>
          <w:shd w:val="clear" w:color="auto" w:fill="FFFFFF"/>
        </w:rPr>
        <w:t>for</w:t>
      </w:r>
      <w:proofErr w:type="spellEnd"/>
      <w:r w:rsidRPr="0066736C">
        <w:rPr>
          <w:color w:val="333333"/>
          <w:shd w:val="clear" w:color="auto" w:fill="FFFFFF"/>
        </w:rPr>
        <w:t xml:space="preserve"> </w:t>
      </w:r>
      <w:proofErr w:type="spellStart"/>
      <w:r w:rsidRPr="0066736C">
        <w:rPr>
          <w:color w:val="333333"/>
          <w:shd w:val="clear" w:color="auto" w:fill="FFFFFF"/>
        </w:rPr>
        <w:t>Conservation</w:t>
      </w:r>
      <w:proofErr w:type="spellEnd"/>
      <w:r w:rsidRPr="0066736C">
        <w:rPr>
          <w:color w:val="333333"/>
          <w:shd w:val="clear" w:color="auto" w:fill="FFFFFF"/>
        </w:rPr>
        <w:t xml:space="preserve"> of </w:t>
      </w:r>
      <w:proofErr w:type="spellStart"/>
      <w:r w:rsidRPr="0066736C">
        <w:rPr>
          <w:color w:val="333333"/>
          <w:shd w:val="clear" w:color="auto" w:fill="FFFFFF"/>
        </w:rPr>
        <w:t>Nature</w:t>
      </w:r>
      <w:proofErr w:type="spellEnd"/>
    </w:p>
  </w:footnote>
  <w:footnote w:id="2">
    <w:p w:rsidR="00F00F19" w:rsidRPr="0066736C" w:rsidRDefault="00F00F19" w:rsidP="00F00F19">
      <w:pPr>
        <w:pStyle w:val="Cmsor3"/>
        <w:shd w:val="clear" w:color="auto" w:fill="FFFFFF"/>
        <w:spacing w:before="0" w:line="240" w:lineRule="auto"/>
        <w:rPr>
          <w:rFonts w:ascii="Times New Roman" w:eastAsia="Times New Roman" w:hAnsi="Times New Roman" w:cs="Times New Roman"/>
          <w:b/>
          <w:sz w:val="20"/>
          <w:szCs w:val="20"/>
          <w:lang w:eastAsia="hu-HU"/>
        </w:rPr>
      </w:pPr>
      <w:r w:rsidRPr="0066736C">
        <w:rPr>
          <w:rStyle w:val="Lbjegyzet-hivatkozs"/>
          <w:rFonts w:cs="Times New Roman"/>
          <w:szCs w:val="20"/>
        </w:rPr>
        <w:footnoteRef/>
      </w:r>
      <w:r w:rsidRPr="0066736C">
        <w:rPr>
          <w:rFonts w:ascii="Times New Roman" w:hAnsi="Times New Roman" w:cs="Times New Roman"/>
          <w:sz w:val="20"/>
          <w:szCs w:val="20"/>
        </w:rPr>
        <w:t xml:space="preserve"> </w:t>
      </w:r>
      <w:proofErr w:type="spellStart"/>
      <w:r w:rsidRPr="0066736C">
        <w:rPr>
          <w:rFonts w:ascii="Times New Roman" w:eastAsia="Times New Roman" w:hAnsi="Times New Roman" w:cs="Times New Roman"/>
          <w:sz w:val="20"/>
          <w:szCs w:val="20"/>
          <w:lang w:eastAsia="hu-HU"/>
        </w:rPr>
        <w:t>Commission</w:t>
      </w:r>
      <w:proofErr w:type="spellEnd"/>
      <w:r w:rsidRPr="0066736C">
        <w:rPr>
          <w:rFonts w:ascii="Times New Roman" w:eastAsia="Times New Roman" w:hAnsi="Times New Roman" w:cs="Times New Roman"/>
          <w:sz w:val="20"/>
          <w:szCs w:val="20"/>
          <w:lang w:eastAsia="hu-HU"/>
        </w:rPr>
        <w:t xml:space="preserve"> </w:t>
      </w:r>
      <w:proofErr w:type="spellStart"/>
      <w:r w:rsidRPr="0066736C">
        <w:rPr>
          <w:rFonts w:ascii="Times New Roman" w:eastAsia="Times New Roman" w:hAnsi="Times New Roman" w:cs="Times New Roman"/>
          <w:sz w:val="20"/>
          <w:szCs w:val="20"/>
          <w:lang w:eastAsia="hu-HU"/>
        </w:rPr>
        <w:t>on</w:t>
      </w:r>
      <w:proofErr w:type="spellEnd"/>
      <w:r w:rsidRPr="0066736C">
        <w:rPr>
          <w:rFonts w:ascii="Times New Roman" w:eastAsia="Times New Roman" w:hAnsi="Times New Roman" w:cs="Times New Roman"/>
          <w:sz w:val="20"/>
          <w:szCs w:val="20"/>
          <w:lang w:eastAsia="hu-HU"/>
        </w:rPr>
        <w:t xml:space="preserve"> Education and </w:t>
      </w:r>
      <w:proofErr w:type="spellStart"/>
      <w:r w:rsidRPr="0066736C">
        <w:rPr>
          <w:rFonts w:ascii="Times New Roman" w:eastAsia="Times New Roman" w:hAnsi="Times New Roman" w:cs="Times New Roman"/>
          <w:sz w:val="20"/>
          <w:szCs w:val="20"/>
          <w:lang w:eastAsia="hu-HU"/>
        </w:rPr>
        <w:t>Communication</w:t>
      </w:r>
      <w:proofErr w:type="spellEnd"/>
      <w:r w:rsidRPr="0066736C">
        <w:rPr>
          <w:rFonts w:ascii="Times New Roman" w:eastAsia="Times New Roman" w:hAnsi="Times New Roman" w:cs="Times New Roman"/>
          <w:sz w:val="20"/>
          <w:szCs w:val="20"/>
          <w:lang w:eastAsia="hu-HU"/>
        </w:rPr>
        <w:t xml:space="preserve"> </w:t>
      </w:r>
    </w:p>
  </w:footnote>
  <w:footnote w:id="3">
    <w:p w:rsidR="00F00F19" w:rsidRPr="0066736C" w:rsidRDefault="00F00F19" w:rsidP="00F00F19">
      <w:pPr>
        <w:pStyle w:val="Lbjegyzetszveg"/>
        <w:rPr>
          <w:bCs/>
          <w:lang w:eastAsia="hu-HU"/>
        </w:rPr>
      </w:pPr>
      <w:r w:rsidRPr="0066736C">
        <w:rPr>
          <w:bCs/>
          <w:lang w:eastAsia="hu-HU"/>
        </w:rPr>
        <w:footnoteRef/>
      </w:r>
      <w:r w:rsidRPr="0066736C">
        <w:rPr>
          <w:bCs/>
          <w:lang w:eastAsia="hu-HU"/>
        </w:rPr>
        <w:t xml:space="preserve"> </w:t>
      </w:r>
      <w:proofErr w:type="gramStart"/>
      <w:r w:rsidRPr="0066736C">
        <w:rPr>
          <w:bCs/>
          <w:lang w:eastAsia="hu-HU"/>
        </w:rPr>
        <w:t>http</w:t>
      </w:r>
      <w:proofErr w:type="gramEnd"/>
      <w:r w:rsidRPr="0066736C">
        <w:rPr>
          <w:bCs/>
          <w:lang w:eastAsia="hu-HU"/>
        </w:rPr>
        <w:t>://www.iucn.hu/kom_prog.html</w:t>
      </w:r>
    </w:p>
  </w:footnote>
  <w:footnote w:id="4">
    <w:p w:rsidR="00F00F19" w:rsidRPr="0066736C" w:rsidRDefault="00F00F19" w:rsidP="00F00F19">
      <w:pPr>
        <w:pStyle w:val="Lbjegyzetszveg"/>
      </w:pPr>
      <w:r w:rsidRPr="0066736C">
        <w:rPr>
          <w:rStyle w:val="Lbjegyzet-hivatkozs"/>
        </w:rPr>
        <w:footnoteRef/>
      </w:r>
      <w:r w:rsidRPr="0066736C">
        <w:t xml:space="preserve"> A Fenntartható fejlődésre való nevelés alcsoport</w:t>
      </w:r>
    </w:p>
  </w:footnote>
  <w:footnote w:id="5">
    <w:p w:rsidR="00F00F19" w:rsidRPr="0066736C" w:rsidRDefault="00F00F19" w:rsidP="00F00F19">
      <w:pPr>
        <w:pStyle w:val="Lbjegyzetszveg"/>
      </w:pPr>
      <w:r w:rsidRPr="0066736C">
        <w:rPr>
          <w:rStyle w:val="Lbjegyzet-hivatkozs"/>
        </w:rPr>
        <w:footnoteRef/>
      </w:r>
      <w:r w:rsidRPr="0066736C">
        <w:t xml:space="preserve"> </w:t>
      </w:r>
      <w:r w:rsidRPr="0066736C">
        <w:rPr>
          <w:iCs/>
          <w:color w:val="252525"/>
          <w:shd w:val="clear" w:color="auto" w:fill="FFFFFF"/>
        </w:rPr>
        <w:t xml:space="preserve">United </w:t>
      </w:r>
      <w:proofErr w:type="spellStart"/>
      <w:r w:rsidRPr="0066736C">
        <w:rPr>
          <w:iCs/>
          <w:color w:val="252525"/>
          <w:shd w:val="clear" w:color="auto" w:fill="FFFFFF"/>
        </w:rPr>
        <w:t>Nations</w:t>
      </w:r>
      <w:proofErr w:type="spellEnd"/>
      <w:r w:rsidRPr="0066736C">
        <w:rPr>
          <w:iCs/>
          <w:color w:val="252525"/>
          <w:shd w:val="clear" w:color="auto" w:fill="FFFFFF"/>
        </w:rPr>
        <w:t xml:space="preserve"> </w:t>
      </w:r>
      <w:proofErr w:type="spellStart"/>
      <w:r w:rsidRPr="0066736C">
        <w:rPr>
          <w:iCs/>
          <w:color w:val="252525"/>
          <w:shd w:val="clear" w:color="auto" w:fill="FFFFFF"/>
        </w:rPr>
        <w:t>Educational</w:t>
      </w:r>
      <w:proofErr w:type="spellEnd"/>
      <w:r w:rsidRPr="0066736C">
        <w:rPr>
          <w:iCs/>
          <w:color w:val="252525"/>
          <w:shd w:val="clear" w:color="auto" w:fill="FFFFFF"/>
        </w:rPr>
        <w:t xml:space="preserve">, </w:t>
      </w:r>
      <w:proofErr w:type="spellStart"/>
      <w:r w:rsidRPr="0066736C">
        <w:rPr>
          <w:iCs/>
          <w:color w:val="252525"/>
          <w:shd w:val="clear" w:color="auto" w:fill="FFFFFF"/>
        </w:rPr>
        <w:t>Scientific</w:t>
      </w:r>
      <w:proofErr w:type="spellEnd"/>
      <w:r w:rsidRPr="0066736C">
        <w:rPr>
          <w:iCs/>
          <w:color w:val="252525"/>
          <w:shd w:val="clear" w:color="auto" w:fill="FFFFFF"/>
        </w:rPr>
        <w:t xml:space="preserve"> and </w:t>
      </w:r>
      <w:proofErr w:type="spellStart"/>
      <w:r w:rsidRPr="0066736C">
        <w:rPr>
          <w:iCs/>
          <w:color w:val="252525"/>
          <w:shd w:val="clear" w:color="auto" w:fill="FFFFFF"/>
        </w:rPr>
        <w:t>Cultural</w:t>
      </w:r>
      <w:proofErr w:type="spellEnd"/>
      <w:r w:rsidRPr="0066736C">
        <w:rPr>
          <w:iCs/>
          <w:color w:val="252525"/>
          <w:shd w:val="clear" w:color="auto" w:fill="FFFFFF"/>
        </w:rPr>
        <w:t xml:space="preserve"> Organization</w:t>
      </w:r>
    </w:p>
  </w:footnote>
  <w:footnote w:id="6">
    <w:p w:rsidR="00F00F19" w:rsidRPr="0066736C" w:rsidRDefault="00F00F19" w:rsidP="00F00F19">
      <w:pPr>
        <w:pStyle w:val="Lbjegyzetszveg"/>
      </w:pPr>
      <w:r w:rsidRPr="0066736C">
        <w:rPr>
          <w:rStyle w:val="Lbjegyzet-hivatkozs"/>
        </w:rPr>
        <w:footnoteRef/>
      </w:r>
      <w:r w:rsidRPr="0066736C">
        <w:t xml:space="preserve"> United </w:t>
      </w:r>
      <w:proofErr w:type="spellStart"/>
      <w:r w:rsidRPr="0066736C">
        <w:t>Nations</w:t>
      </w:r>
      <w:proofErr w:type="spellEnd"/>
      <w:r w:rsidRPr="0066736C">
        <w:t xml:space="preserve"> </w:t>
      </w:r>
      <w:proofErr w:type="spellStart"/>
      <w:r w:rsidRPr="0066736C">
        <w:t>Environment</w:t>
      </w:r>
      <w:proofErr w:type="spellEnd"/>
      <w:r w:rsidRPr="0066736C">
        <w:t xml:space="preserve"> Programme</w:t>
      </w:r>
    </w:p>
  </w:footnote>
  <w:footnote w:id="7">
    <w:p w:rsidR="00F00F19" w:rsidRPr="0066736C" w:rsidRDefault="00F00F19" w:rsidP="00F00F19">
      <w:pPr>
        <w:pStyle w:val="Lbjegyzetszveg"/>
      </w:pPr>
      <w:r w:rsidRPr="0066736C">
        <w:rPr>
          <w:rStyle w:val="Lbjegyzet-hivatkozs"/>
        </w:rPr>
        <w:footnoteRef/>
      </w:r>
      <w:r w:rsidRPr="0066736C">
        <w:t xml:space="preserve"> Egyesült Nemzetek Szervezete</w:t>
      </w:r>
    </w:p>
  </w:footnote>
  <w:footnote w:id="8">
    <w:p w:rsidR="00F00F19" w:rsidRPr="0066736C" w:rsidRDefault="00F00F19" w:rsidP="00F00F19">
      <w:pPr>
        <w:pStyle w:val="Lbjegyzetszveg"/>
      </w:pPr>
      <w:r w:rsidRPr="0066736C">
        <w:rPr>
          <w:rStyle w:val="Lbjegyzet-hivatkozs"/>
        </w:rPr>
        <w:footnoteRef/>
      </w:r>
      <w:r w:rsidRPr="0066736C">
        <w:t xml:space="preserve"> International </w:t>
      </w:r>
      <w:proofErr w:type="spellStart"/>
      <w:r w:rsidRPr="0066736C">
        <w:t>Environmental</w:t>
      </w:r>
      <w:proofErr w:type="spellEnd"/>
      <w:r w:rsidRPr="0066736C">
        <w:t xml:space="preserve"> Education Program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A54C0"/>
    <w:multiLevelType w:val="hybridMultilevel"/>
    <w:tmpl w:val="5D3427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F19"/>
    <w:rsid w:val="000001CB"/>
    <w:rsid w:val="00112EA7"/>
    <w:rsid w:val="0040239F"/>
    <w:rsid w:val="00B52D19"/>
    <w:rsid w:val="00BA026A"/>
    <w:rsid w:val="00F00F1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1D15D"/>
  <w15:chartTrackingRefBased/>
  <w15:docId w15:val="{901BE9BE-F687-49BE-9232-729F6D7CD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uiPriority w:val="9"/>
    <w:semiHidden/>
    <w:unhideWhenUsed/>
    <w:qFormat/>
    <w:rsid w:val="00F00F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
    <w:semiHidden/>
    <w:rsid w:val="00F00F19"/>
    <w:rPr>
      <w:rFonts w:asciiTheme="majorHAnsi" w:eastAsiaTheme="majorEastAsia" w:hAnsiTheme="majorHAnsi" w:cstheme="majorBidi"/>
      <w:color w:val="1F4D78" w:themeColor="accent1" w:themeShade="7F"/>
      <w:sz w:val="24"/>
      <w:szCs w:val="24"/>
    </w:rPr>
  </w:style>
  <w:style w:type="paragraph" w:styleId="Lbjegyzetszveg">
    <w:name w:val="footnote text"/>
    <w:basedOn w:val="Norml"/>
    <w:link w:val="LbjegyzetszvegChar"/>
    <w:uiPriority w:val="99"/>
    <w:semiHidden/>
    <w:unhideWhenUsed/>
    <w:rsid w:val="00F00F19"/>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F00F19"/>
    <w:rPr>
      <w:sz w:val="20"/>
      <w:szCs w:val="20"/>
    </w:rPr>
  </w:style>
  <w:style w:type="character" w:styleId="Lbjegyzet-hivatkozs">
    <w:name w:val="footnote reference"/>
    <w:basedOn w:val="Bekezdsalapbettpusa"/>
    <w:unhideWhenUsed/>
    <w:rsid w:val="00F00F19"/>
    <w:rPr>
      <w:vertAlign w:val="superscript"/>
    </w:rPr>
  </w:style>
  <w:style w:type="paragraph" w:styleId="NormlWeb">
    <w:name w:val="Normal (Web)"/>
    <w:basedOn w:val="Norml"/>
    <w:uiPriority w:val="99"/>
    <w:semiHidden/>
    <w:unhideWhenUsed/>
    <w:rsid w:val="00F00F19"/>
    <w:pPr>
      <w:spacing w:before="100" w:beforeAutospacing="1" w:after="100" w:afterAutospacing="1"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802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elelossegteljesutaza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1324</Words>
  <Characters>9136</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Tanár</dc:creator>
  <cp:keywords/>
  <dc:description/>
  <cp:lastModifiedBy>Tanár</cp:lastModifiedBy>
  <cp:revision>2</cp:revision>
  <dcterms:created xsi:type="dcterms:W3CDTF">2020-10-16T13:27:00Z</dcterms:created>
  <dcterms:modified xsi:type="dcterms:W3CDTF">2020-10-16T13:27:00Z</dcterms:modified>
</cp:coreProperties>
</file>